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85" w:rsidRDefault="00CD0885" w:rsidP="00CD0885">
      <w:pPr>
        <w:pStyle w:val="a3"/>
        <w:ind w:left="-567"/>
        <w:jc w:val="center"/>
        <w:rPr>
          <w:b/>
          <w:color w:val="0000FF"/>
          <w:sz w:val="28"/>
          <w:szCs w:val="28"/>
          <w:u w:val="single"/>
        </w:rPr>
      </w:pPr>
      <w:r w:rsidRPr="00A068D4">
        <w:rPr>
          <w:b/>
          <w:bCs/>
          <w:noProof/>
          <w:kern w:val="36"/>
          <w:sz w:val="28"/>
          <w:szCs w:val="28"/>
        </w:rPr>
        <w:drawing>
          <wp:anchor distT="0" distB="0" distL="0" distR="0" simplePos="0" relativeHeight="251665920" behindDoc="0" locked="0" layoutInCell="1" allowOverlap="0" wp14:anchorId="6380FA12" wp14:editId="66066EDC">
            <wp:simplePos x="0" y="0"/>
            <wp:positionH relativeFrom="column">
              <wp:posOffset>-327660</wp:posOffset>
            </wp:positionH>
            <wp:positionV relativeFrom="line">
              <wp:posOffset>34290</wp:posOffset>
            </wp:positionV>
            <wp:extent cx="1657350" cy="1657350"/>
            <wp:effectExtent l="38100" t="38100" r="19050" b="19050"/>
            <wp:wrapSquare wrapText="bothSides"/>
            <wp:docPr id="13" name="Рисунок 2" descr="http://www.eseur.ru/Photos/photo3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eur.ru/Photos/photo348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8D4">
        <w:rPr>
          <w:b/>
          <w:color w:val="0000FF"/>
          <w:sz w:val="28"/>
          <w:szCs w:val="28"/>
          <w:u w:val="single"/>
        </w:rPr>
        <w:t>Профсоюз отстаивает права учителей на этапе обсуждения НСУР</w:t>
      </w:r>
    </w:p>
    <w:p w:rsidR="00CD0885" w:rsidRDefault="00CD0885" w:rsidP="00CD0885">
      <w:pPr>
        <w:pStyle w:val="a3"/>
        <w:ind w:left="-567"/>
        <w:jc w:val="center"/>
        <w:rPr>
          <w:b/>
          <w:sz w:val="28"/>
          <w:szCs w:val="28"/>
          <w:u w:val="single"/>
        </w:rPr>
      </w:pPr>
      <w:r w:rsidRPr="00CD0885">
        <w:rPr>
          <w:b/>
          <w:sz w:val="28"/>
          <w:szCs w:val="28"/>
          <w:u w:val="single"/>
        </w:rPr>
        <w:t>Пресс-служба Профсоюза. 29.08.2017</w:t>
      </w:r>
    </w:p>
    <w:p w:rsidR="00CD0885" w:rsidRDefault="00CD0885" w:rsidP="00CD0885">
      <w:pPr>
        <w:pStyle w:val="a3"/>
        <w:ind w:left="-567"/>
        <w:jc w:val="center"/>
        <w:rPr>
          <w:b/>
          <w:sz w:val="28"/>
          <w:szCs w:val="28"/>
          <w:u w:val="single"/>
        </w:rPr>
      </w:pPr>
    </w:p>
    <w:p w:rsid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b/>
          <w:sz w:val="28"/>
          <w:szCs w:val="28"/>
        </w:rPr>
        <w:t>28 августа 2017 года</w:t>
      </w:r>
      <w:r w:rsidRPr="00CD0885">
        <w:rPr>
          <w:sz w:val="28"/>
          <w:szCs w:val="28"/>
        </w:rPr>
        <w:t xml:space="preserve"> в международном мультимедийном пресс-центре МИА «Россия сегодня»</w:t>
      </w:r>
      <w:r w:rsidRPr="00CD0885">
        <w:rPr>
          <w:sz w:val="28"/>
          <w:szCs w:val="28"/>
        </w:rPr>
        <w:t xml:space="preserve"> прошёл круглый стол на тему: «</w:t>
      </w:r>
      <w:r w:rsidRPr="00CD0885">
        <w:rPr>
          <w:sz w:val="28"/>
          <w:szCs w:val="28"/>
        </w:rPr>
        <w:t>Модель национальной системы учительского роста и проект уровневого профессионального стандарта п</w:t>
      </w:r>
      <w:r w:rsidRPr="00CD0885">
        <w:rPr>
          <w:sz w:val="28"/>
          <w:szCs w:val="28"/>
        </w:rPr>
        <w:t>едагога: вопросы для обсуждения»</w:t>
      </w:r>
      <w:r w:rsidRPr="00CD0885">
        <w:rPr>
          <w:sz w:val="28"/>
          <w:szCs w:val="28"/>
        </w:rPr>
        <w:t xml:space="preserve">, в котором приняли участие министр образования и науки Российской Федерации Ольга Васильева, заместитель министра образования и науки Республики Татарстан </w:t>
      </w:r>
      <w:proofErr w:type="spellStart"/>
      <w:r w:rsidRPr="00CD0885">
        <w:rPr>
          <w:sz w:val="28"/>
          <w:szCs w:val="28"/>
        </w:rPr>
        <w:t>Тимирхан</w:t>
      </w:r>
      <w:proofErr w:type="spellEnd"/>
      <w:r w:rsidRPr="00CD0885">
        <w:rPr>
          <w:sz w:val="28"/>
          <w:szCs w:val="28"/>
        </w:rPr>
        <w:t xml:space="preserve"> </w:t>
      </w:r>
      <w:proofErr w:type="spellStart"/>
      <w:r w:rsidRPr="00CD0885">
        <w:rPr>
          <w:sz w:val="28"/>
          <w:szCs w:val="28"/>
        </w:rPr>
        <w:t>Алишев</w:t>
      </w:r>
      <w:proofErr w:type="spellEnd"/>
      <w:r w:rsidRPr="00CD0885">
        <w:rPr>
          <w:sz w:val="28"/>
          <w:szCs w:val="28"/>
        </w:rPr>
        <w:t>, Председатель Общероссийского Профсоюза образования Галина Меркулова, директор школы № 109 города Москвы, прези</w:t>
      </w:r>
      <w:r w:rsidRPr="00CD0885">
        <w:rPr>
          <w:sz w:val="28"/>
          <w:szCs w:val="28"/>
        </w:rPr>
        <w:t>дент Педагогической ассоциации «Педагог XXI века»</w:t>
      </w:r>
      <w:r w:rsidRPr="00CD0885">
        <w:rPr>
          <w:sz w:val="28"/>
          <w:szCs w:val="28"/>
        </w:rPr>
        <w:t xml:space="preserve"> Ев</w:t>
      </w:r>
      <w:r w:rsidRPr="00CD0885">
        <w:rPr>
          <w:sz w:val="28"/>
          <w:szCs w:val="28"/>
        </w:rPr>
        <w:t>гений Ямбург, главный редактор «Учительской газеты»</w:t>
      </w:r>
      <w:r w:rsidRPr="00CD0885">
        <w:rPr>
          <w:sz w:val="28"/>
          <w:szCs w:val="28"/>
        </w:rPr>
        <w:t xml:space="preserve"> Пётр </w:t>
      </w:r>
      <w:proofErr w:type="spellStart"/>
      <w:r w:rsidRPr="00CD0885">
        <w:rPr>
          <w:sz w:val="28"/>
          <w:szCs w:val="28"/>
        </w:rPr>
        <w:t>Положевец</w:t>
      </w:r>
      <w:proofErr w:type="spellEnd"/>
      <w:r w:rsidRPr="00CD0885">
        <w:rPr>
          <w:sz w:val="28"/>
          <w:szCs w:val="28"/>
        </w:rPr>
        <w:t>, ректоры педагогических вузов, побе</w:t>
      </w:r>
      <w:r w:rsidRPr="00CD0885">
        <w:rPr>
          <w:sz w:val="28"/>
          <w:szCs w:val="28"/>
        </w:rPr>
        <w:t>дители Всероссийского конкурса «Учитель года России»</w:t>
      </w:r>
      <w:r w:rsidRPr="00CD0885">
        <w:rPr>
          <w:sz w:val="28"/>
          <w:szCs w:val="28"/>
        </w:rPr>
        <w:t>. Участники мероприятия обсудили возможные риски и перспективы формирования НСУР.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 </w:t>
      </w:r>
      <w:r w:rsidRPr="00CD0885">
        <w:rPr>
          <w:sz w:val="28"/>
          <w:szCs w:val="28"/>
        </w:rPr>
        <w:t>Мероприятие состоялось по инициа</w:t>
      </w:r>
      <w:r>
        <w:rPr>
          <w:sz w:val="28"/>
          <w:szCs w:val="28"/>
        </w:rPr>
        <w:t>тиве Педагогической ассоциации «Педагог XXI века»</w:t>
      </w:r>
      <w:r w:rsidRPr="00CD0885">
        <w:rPr>
          <w:sz w:val="28"/>
          <w:szCs w:val="28"/>
        </w:rPr>
        <w:t xml:space="preserve"> при поддержке министерства образования и науки Российской Федерации, Общеросси</w:t>
      </w:r>
      <w:r>
        <w:rPr>
          <w:sz w:val="28"/>
          <w:szCs w:val="28"/>
        </w:rPr>
        <w:t>йского профсоюза образования и «Учительской газеты»</w:t>
      </w:r>
      <w:r w:rsidRPr="00CD0885">
        <w:rPr>
          <w:sz w:val="28"/>
          <w:szCs w:val="28"/>
        </w:rPr>
        <w:t>. Фактически в рамках этого круглого стола началось широкое экспертное обсуждение вопросов формирования, развития и внедрения национальной системы учительского роста (НСУР) и разработки уровневого профессионального стандарта педагога.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В рамках разработки национальной системы учительского роста и уровневого профессионального стандарта педагога (воспитатель, учитель) Педагогическая ассоциация привлекла профессиональное педагогическое сообщество и общественность к дискуссии и сотрудничеству для получения ответов на основополагающие вопросы:</w:t>
      </w:r>
    </w:p>
    <w:p w:rsidR="00CD0885" w:rsidRPr="00CD0885" w:rsidRDefault="00CD0885" w:rsidP="00CD0885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Что должна включать в себя национальная система учительского роста?</w:t>
      </w:r>
    </w:p>
    <w:p w:rsidR="00CD0885" w:rsidRPr="00CD0885" w:rsidRDefault="00CD0885" w:rsidP="00CD0885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Что несёт в себе проект уровневого профессионального стандарта педагога?</w:t>
      </w:r>
    </w:p>
    <w:p w:rsidR="00CD0885" w:rsidRPr="00CD0885" w:rsidRDefault="00CD0885" w:rsidP="00CD0885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Как оценивать квалификацию педагогических работников в рамках НСУР?</w:t>
      </w:r>
    </w:p>
    <w:p w:rsidR="00CD0885" w:rsidRPr="00CD0885" w:rsidRDefault="00CD0885" w:rsidP="00CD0885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Что необходимо для объективного роста престижа профессии педагога?</w:t>
      </w:r>
    </w:p>
    <w:p w:rsidR="00CD0885" w:rsidRPr="00CD0885" w:rsidRDefault="00CD0885" w:rsidP="00CD0885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Каковы риски и перспективы НСУР?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>Открывая встречу, министр Ольга Васильева отметила, что круглый стол - это первое из большого числа мероприятий, которое посвящено очень важной задаче - разработке и введению национальной системы учительского роста, которая поставлена перед профессиональным сообществом президентом России Владимиром Путиным.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- </w:t>
      </w:r>
      <w:r w:rsidRPr="00CD0885">
        <w:rPr>
          <w:i/>
          <w:iCs/>
          <w:sz w:val="28"/>
          <w:szCs w:val="28"/>
        </w:rPr>
        <w:t>Это не только поручение, но и наши профессиональные вызовы, и ответ на решение тех вопросов, которые поставила нам система образования. Работа эта сложная, ювелирная, потому что затрагивает деятельность миллионов наших учителей и их семей. Мы должны быть готовы к тому, что эта работа будет проходить взвешенно, никаких огульных решений в ней быть не должно.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Напомним, что модель НСУР на сегодняшний день предполагает введение нескольких новых учительских должностей, позволяющих осуществить более </w:t>
      </w:r>
      <w:r w:rsidRPr="00CD0885">
        <w:rPr>
          <w:sz w:val="28"/>
          <w:szCs w:val="28"/>
        </w:rPr>
        <w:lastRenderedPageBreak/>
        <w:t>эффективный профессиональный рост, а её введени</w:t>
      </w:r>
      <w:r>
        <w:rPr>
          <w:sz w:val="28"/>
          <w:szCs w:val="28"/>
        </w:rPr>
        <w:t xml:space="preserve">е запланировано на 2020 </w:t>
      </w:r>
      <w:proofErr w:type="gramStart"/>
      <w:r>
        <w:rPr>
          <w:sz w:val="28"/>
          <w:szCs w:val="28"/>
        </w:rPr>
        <w:t>год.  </w:t>
      </w:r>
      <w:proofErr w:type="gramEnd"/>
      <w:r>
        <w:rPr>
          <w:sz w:val="28"/>
          <w:szCs w:val="28"/>
        </w:rPr>
        <w:br/>
        <w:t xml:space="preserve">        </w:t>
      </w:r>
      <w:r w:rsidRPr="00CD0885">
        <w:rPr>
          <w:sz w:val="28"/>
          <w:szCs w:val="28"/>
        </w:rPr>
        <w:t>Председатель Профсоюза Галина Меркулова, принявшая активное участие в дискуссии, сделала акцент в своём выступлении на необходимости корректного проведения очередных новаций в системе образования, а также уважительного отношения к потребностям учителя в профессиональном росте.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- </w:t>
      </w:r>
      <w:r w:rsidRPr="00CD0885">
        <w:rPr>
          <w:i/>
          <w:iCs/>
          <w:sz w:val="28"/>
          <w:szCs w:val="28"/>
        </w:rPr>
        <w:t>К сожалению, так сложилось, что каждое новшество российский учитель воспринимает очень настороженно. Важно, чтобы НСУР учительство не воспринимало, как очередную карательную меру.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Также Галина Ивановна остановилась на вопросе </w:t>
      </w:r>
      <w:proofErr w:type="gramStart"/>
      <w:r w:rsidRPr="00CD0885">
        <w:rPr>
          <w:sz w:val="28"/>
          <w:szCs w:val="28"/>
        </w:rPr>
        <w:t>диагностического  тестирования</w:t>
      </w:r>
      <w:proofErr w:type="gramEnd"/>
      <w:r w:rsidRPr="00CD0885">
        <w:rPr>
          <w:sz w:val="28"/>
          <w:szCs w:val="28"/>
        </w:rPr>
        <w:t xml:space="preserve"> предметных знаний, методических умений и навыков учителей, предусмотренного в пилотных регионах.       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  <w:r w:rsidRPr="00CD0885">
        <w:rPr>
          <w:sz w:val="28"/>
          <w:szCs w:val="28"/>
        </w:rPr>
        <w:t xml:space="preserve">- </w:t>
      </w:r>
      <w:r w:rsidRPr="00CD0885">
        <w:rPr>
          <w:i/>
          <w:iCs/>
          <w:sz w:val="28"/>
          <w:szCs w:val="28"/>
        </w:rPr>
        <w:t>С первого сентября начинается тестирование по двум предметам: математике и русскому языку. Отмечу, что ни в коем случае нельзя допускать его принудительного характера. Кроме того, на сегодняшний день отсутствуют правовые основания для возможности обязательного учёта итогов тестирования в аттестации. Порядок аттестации, утверждённый приказом министерства и являющийся нормативным правовым актом прямого действия, не предполагает возможность учёта результатов какого-либо тестирования. В связи с этим Профсоюз подчёркивает, что тестирование может являться для учителей сугубо добровольным, а его результаты - конфиденциальными для работодателей.</w:t>
      </w:r>
    </w:p>
    <w:p w:rsidR="00CD0885" w:rsidRPr="00CD0885" w:rsidRDefault="00CD0885" w:rsidP="00CD0885">
      <w:pPr>
        <w:pStyle w:val="a3"/>
        <w:ind w:left="-567" w:firstLine="567"/>
        <w:jc w:val="both"/>
        <w:rPr>
          <w:b/>
          <w:color w:val="0000FF"/>
          <w:sz w:val="28"/>
          <w:szCs w:val="28"/>
        </w:rPr>
      </w:pPr>
      <w:r w:rsidRPr="00CD0885">
        <w:rPr>
          <w:sz w:val="28"/>
          <w:szCs w:val="28"/>
        </w:rPr>
        <w:t>По итогам проведения круглого стола принято решение продолжить дискуссии по разработке и внедрению национальной системы учит</w:t>
      </w:r>
      <w:r>
        <w:rPr>
          <w:sz w:val="28"/>
          <w:szCs w:val="28"/>
        </w:rPr>
        <w:t>ельского роста на площадке МИА «Россия сегодня»</w:t>
      </w:r>
      <w:r w:rsidRPr="00CD0885">
        <w:rPr>
          <w:sz w:val="28"/>
          <w:szCs w:val="28"/>
        </w:rPr>
        <w:t xml:space="preserve"> - </w:t>
      </w:r>
      <w:r w:rsidRPr="00CD0885">
        <w:rPr>
          <w:b/>
          <w:color w:val="0000FF"/>
          <w:sz w:val="28"/>
          <w:szCs w:val="28"/>
        </w:rPr>
        <w:t>следующая встреча пройдёт 27 сентября и будет посвящена дошкольному образованию.</w:t>
      </w:r>
    </w:p>
    <w:p w:rsidR="00CD0885" w:rsidRPr="00CD0885" w:rsidRDefault="00CD0885" w:rsidP="00CD0885">
      <w:pPr>
        <w:pStyle w:val="a3"/>
        <w:ind w:left="-567" w:firstLine="567"/>
        <w:jc w:val="both"/>
        <w:rPr>
          <w:sz w:val="28"/>
          <w:szCs w:val="28"/>
        </w:rPr>
      </w:pPr>
    </w:p>
    <w:p w:rsidR="00CD0885" w:rsidRPr="00CD0885" w:rsidRDefault="00CD0885" w:rsidP="00CD0885">
      <w:pPr>
        <w:pStyle w:val="a3"/>
        <w:ind w:left="-567" w:firstLine="567"/>
        <w:jc w:val="both"/>
        <w:rPr>
          <w:b/>
          <w:sz w:val="28"/>
          <w:szCs w:val="28"/>
          <w:u w:val="single"/>
        </w:rPr>
      </w:pP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CD0885" w:rsidRPr="00A068D4" w:rsidTr="00CD0885">
        <w:trPr>
          <w:trHeight w:val="300"/>
          <w:tblCellSpacing w:w="0" w:type="dxa"/>
        </w:trPr>
        <w:tc>
          <w:tcPr>
            <w:tcW w:w="0" w:type="auto"/>
            <w:hideMark/>
          </w:tcPr>
          <w:p w:rsidR="00CD0885" w:rsidRPr="00A068D4" w:rsidRDefault="00CD0885" w:rsidP="00C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D0885" w:rsidRPr="00A068D4" w:rsidRDefault="00CD0885" w:rsidP="00CD088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2E4E" w:rsidRPr="00E72E4E" w:rsidRDefault="00E72E4E" w:rsidP="00CD0885">
      <w:pPr>
        <w:spacing w:before="100" w:beforeAutospacing="1" w:after="100" w:afterAutospacing="1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2E4E" w:rsidRPr="00E72E4E" w:rsidSect="00CD08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D364C"/>
    <w:multiLevelType w:val="multilevel"/>
    <w:tmpl w:val="A58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C5C17"/>
    <w:multiLevelType w:val="hybridMultilevel"/>
    <w:tmpl w:val="6C84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665880"/>
    <w:rsid w:val="008C66F9"/>
    <w:rsid w:val="00903646"/>
    <w:rsid w:val="009F0258"/>
    <w:rsid w:val="00A97CA3"/>
    <w:rsid w:val="00B2287F"/>
    <w:rsid w:val="00C87DC1"/>
    <w:rsid w:val="00CD0885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094424-8D78-471B-A698-873B4647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7</cp:revision>
  <dcterms:created xsi:type="dcterms:W3CDTF">2014-04-24T05:38:00Z</dcterms:created>
  <dcterms:modified xsi:type="dcterms:W3CDTF">2017-08-30T17:05:00Z</dcterms:modified>
</cp:coreProperties>
</file>